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C3F9" w14:textId="2262AD56" w:rsidR="00A00A37" w:rsidRPr="000B4160" w:rsidRDefault="00D447B0" w:rsidP="00D447B0">
      <w:pPr>
        <w:pStyle w:val="Tytu"/>
        <w:rPr>
          <w:rFonts w:ascii="Times" w:hAnsi="Times"/>
          <w:b/>
          <w:color w:val="833C0B" w:themeColor="accent2" w:themeShade="80"/>
        </w:rPr>
      </w:pPr>
      <w:r w:rsidRPr="000B4160">
        <w:rPr>
          <w:rFonts w:ascii="Times" w:hAnsi="Times"/>
          <w:b/>
          <w:color w:val="833C0B" w:themeColor="accent2" w:themeShade="80"/>
        </w:rPr>
        <w:t>Przedmiotow</w:t>
      </w:r>
      <w:r w:rsidR="00355EE1">
        <w:rPr>
          <w:rFonts w:ascii="Times" w:hAnsi="Times"/>
          <w:b/>
          <w:color w:val="833C0B" w:themeColor="accent2" w:themeShade="80"/>
        </w:rPr>
        <w:t>e</w:t>
      </w:r>
      <w:r w:rsidRPr="000B4160">
        <w:rPr>
          <w:rFonts w:ascii="Times" w:hAnsi="Times"/>
          <w:b/>
          <w:color w:val="833C0B" w:themeColor="accent2" w:themeShade="80"/>
        </w:rPr>
        <w:t xml:space="preserve"> </w:t>
      </w:r>
      <w:r w:rsidR="00355EE1">
        <w:rPr>
          <w:rFonts w:ascii="Times" w:hAnsi="Times"/>
          <w:b/>
          <w:color w:val="833C0B" w:themeColor="accent2" w:themeShade="80"/>
        </w:rPr>
        <w:t>zasady</w:t>
      </w:r>
      <w:r w:rsidRPr="000B4160">
        <w:rPr>
          <w:rFonts w:ascii="Times" w:hAnsi="Times"/>
          <w:b/>
          <w:color w:val="833C0B" w:themeColor="accent2" w:themeShade="80"/>
        </w:rPr>
        <w:t xml:space="preserve"> oceniania</w:t>
      </w:r>
      <w:r w:rsidR="00582962">
        <w:rPr>
          <w:rFonts w:ascii="Times" w:hAnsi="Times"/>
          <w:b/>
          <w:color w:val="833C0B" w:themeColor="accent2" w:themeShade="80"/>
        </w:rPr>
        <w:t xml:space="preserve"> z techniki w klasie</w:t>
      </w:r>
      <w:r w:rsidR="006C7863" w:rsidRPr="000B4160">
        <w:rPr>
          <w:rFonts w:ascii="Times" w:hAnsi="Times"/>
          <w:b/>
          <w:color w:val="833C0B" w:themeColor="accent2" w:themeShade="80"/>
        </w:rPr>
        <w:t xml:space="preserve"> 4</w:t>
      </w:r>
    </w:p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7187D92D" w14:textId="21FB1FFA" w:rsidR="00D447B0" w:rsidRPr="003518CB" w:rsidRDefault="003518CB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3518CB">
        <w:rPr>
          <w:rFonts w:ascii="Times" w:hAnsi="Times"/>
          <w:b/>
        </w:rPr>
        <w:t xml:space="preserve">Wymagania edukacyjne </w:t>
      </w:r>
      <w:bookmarkStart w:id="0" w:name="_GoBack"/>
      <w:bookmarkEnd w:id="0"/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lastRenderedPageBreak/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D336917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085349C9" w14:textId="77777777" w:rsidR="000B4160" w:rsidRPr="00A91E01" w:rsidRDefault="000B4160" w:rsidP="000B4160">
      <w:pPr>
        <w:pStyle w:val="Akapitzlist"/>
        <w:rPr>
          <w:rFonts w:ascii="Times" w:hAnsi="Times"/>
        </w:rPr>
      </w:pPr>
    </w:p>
    <w:p w14:paraId="4FDED669" w14:textId="21A5C6F6" w:rsidR="00A91E01" w:rsidRPr="00A91E01" w:rsidRDefault="00D2765C" w:rsidP="00C14370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lastRenderedPageBreak/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46020" w14:textId="77777777" w:rsidR="00DB7091" w:rsidRDefault="00DB7091" w:rsidP="00CC5B44">
      <w:r>
        <w:separator/>
      </w:r>
    </w:p>
  </w:endnote>
  <w:endnote w:type="continuationSeparator" w:id="0">
    <w:p w14:paraId="01E1256E" w14:textId="77777777" w:rsidR="00DB7091" w:rsidRDefault="00DB7091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3DE1" w14:textId="77777777" w:rsidR="00DB7091" w:rsidRDefault="00DB7091" w:rsidP="00CC5B44">
      <w:r>
        <w:separator/>
      </w:r>
    </w:p>
  </w:footnote>
  <w:footnote w:type="continuationSeparator" w:id="0">
    <w:p w14:paraId="27BDFD44" w14:textId="77777777" w:rsidR="00DB7091" w:rsidRDefault="00DB7091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18CB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7823D0"/>
    <w:rsid w:val="008645C9"/>
    <w:rsid w:val="0089185A"/>
    <w:rsid w:val="008F3BE7"/>
    <w:rsid w:val="00937905"/>
    <w:rsid w:val="009A6F16"/>
    <w:rsid w:val="00A320EE"/>
    <w:rsid w:val="00A65A0D"/>
    <w:rsid w:val="00A91E01"/>
    <w:rsid w:val="00B34F23"/>
    <w:rsid w:val="00C14370"/>
    <w:rsid w:val="00CC5B44"/>
    <w:rsid w:val="00D2765C"/>
    <w:rsid w:val="00D447B0"/>
    <w:rsid w:val="00DA59BE"/>
    <w:rsid w:val="00DB7091"/>
    <w:rsid w:val="00E44AD9"/>
    <w:rsid w:val="00ED04D7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2123</Words>
  <Characters>12741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Dominik Paletko</cp:lastModifiedBy>
  <cp:revision>6</cp:revision>
  <dcterms:created xsi:type="dcterms:W3CDTF">2023-09-12T07:26:00Z</dcterms:created>
  <dcterms:modified xsi:type="dcterms:W3CDTF">2023-09-12T07:30:00Z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