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1NieuzywaneTytuy"/>
        <w:rPr>
          <w:rStyle w:val="Bold"/>
          <w:rFonts w:ascii="Calibri" w:hAnsi="Calibri" w:asciiTheme="minorHAnsi" w:hAnsiTheme="minorHAnsi"/>
          <w:b/>
          <w:b/>
          <w:bCs/>
          <w:spacing w:val="-10"/>
        </w:rPr>
      </w:pPr>
      <w:r>
        <w:rPr/>
      </w:r>
    </w:p>
    <w:p>
      <w:pPr>
        <w:pStyle w:val="Tytu1NieuzywaneTytuy"/>
        <w:spacing w:before="0" w:after="227"/>
        <w:rPr>
          <w:rStyle w:val="Bold"/>
          <w:rFonts w:ascii="Calibri" w:hAnsi="Calibri" w:asciiTheme="minorHAnsi" w:hAnsiTheme="minorHAnsi"/>
          <w:b/>
          <w:b/>
          <w:bCs/>
          <w:color w:val="154194"/>
        </w:rPr>
      </w:pPr>
      <w:r>
        <w:rPr>
          <w:rStyle w:val="Bold"/>
          <w:rFonts w:ascii="Calibri" w:hAnsi="Calibri" w:asciiTheme="minorHAnsi" w:hAnsiTheme="minorHAnsi"/>
          <w:b/>
          <w:bCs/>
          <w:color w:val="154194"/>
        </w:rPr>
        <w:t xml:space="preserve">Wymagania edukacyjne na poszczególne oceny – BIOLOGIA </w:t>
      </w:r>
      <w:r>
        <w:rPr>
          <w:rStyle w:val="Bold"/>
          <w:rFonts w:ascii="Calibri" w:hAnsi="Calibri" w:asciiTheme="minorHAnsi" w:hAnsiTheme="minorHAnsi"/>
          <w:b/>
          <w:bCs/>
          <w:color w:val="154194"/>
        </w:rPr>
        <w:t>Klasa 8</w:t>
      </w:r>
    </w:p>
    <w:tbl>
      <w:tblPr>
        <w:tblW w:w="14034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720"/>
        <w:gridCol w:w="2463"/>
        <w:gridCol w:w="2463"/>
        <w:gridCol w:w="1231"/>
        <w:gridCol w:w="1231"/>
        <w:gridCol w:w="2463"/>
        <w:gridCol w:w="2462"/>
      </w:tblGrid>
      <w:tr>
        <w:trPr>
          <w:tblHeader w:val="true"/>
          <w:trHeight w:val="60" w:hRule="atLeast"/>
        </w:trPr>
        <w:tc>
          <w:tcPr>
            <w:tcW w:w="1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FFFFFF" w:themeColor="background1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b/>
                <w:b/>
                <w:caps/>
                <w:color w:val="FFFFFF" w:themeColor="background1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FFFFFF" w:themeColor="background1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b/>
                <w:b/>
                <w:caps/>
                <w:color w:val="FFFFFF" w:themeColor="background1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FFFFFF" w:themeColor="background1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>
        <w:trPr>
          <w:tblHeader w:val="true"/>
          <w:trHeight w:val="60" w:hRule="atLeast"/>
        </w:trPr>
        <w:tc>
          <w:tcPr>
            <w:tcW w:w="172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Brakstyluakapitowego"/>
              <w:widowControl w:val="false"/>
              <w:spacing w:lineRule="auto" w:line="240"/>
              <w:jc w:val="center"/>
              <w:textAlignment w:val="auto"/>
              <w:rPr>
                <w:rFonts w:ascii="Calibri" w:hAnsi="Calibri" w:cs="" w:asciiTheme="minorHAnsi" w:cstheme="minorBidi" w:hAnsiTheme="minorHAnsi"/>
                <w:color w:val="auto"/>
              </w:rPr>
            </w:pPr>
            <w:r>
              <w:rPr>
                <w:rFonts w:cs="" w:cstheme="minorBidi" w:ascii="Calibri" w:hAnsi="Calibri"/>
                <w:color w:val="auto"/>
              </w:rPr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celująca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asciiTheme="minorHAnsi" w:hAnsiTheme="minorHAnsi"/>
              </w:rPr>
            </w:pPr>
            <w:r>
              <w:rPr>
                <w:rStyle w:val="Boldasia"/>
                <w:b/>
                <w:bCs/>
                <w:caps/>
                <w:color w:val="auto"/>
              </w:rPr>
              <w:t>DZIAŁ 1. PODSTAWY DZIEDZICZENIA CECH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rolę DNA w przechowywaniu i powielaniu (replikacji)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przebieg replikacjiDNA i wyjaśnia jej 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dopisuje za pomocą symboli ACGT komplementarną sekwencję nowej nici DNA do starej nici DNA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cech dziedzicznych i cech niedziedzicznych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to są dziedziczność i dziedziczenie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że informacja o cesze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sposób zapisania in- formacji o cechach (kolejność nukleotydów w DNA)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wykazuje, że DNA jest substancją dziedziczną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że wszystkie komórki danego organizmu mają tę samą informację o cechach organizmu, jednak odczytywanie tych informacji nie odbywa się jednocześnie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3. Chromosomy i geny. Znaczenie mitozy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że podczas podziału komórki DNA jest widoczne w postaci chromosomów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komórki haploidalnei diploidalne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znaczenie podziałów komórkowych (mejozy) w życiu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budowę chromosomów (chromatydy, centromer)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w podanych przykładach haploidalną i diploidalną liczbę chromosomów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jak zmienia się liczba chromosomów podczas po- działów komórkowych (mitozyi mejozy)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istnienie różnych alleli (odmian) danego genu, w tym alleli dominujących i recesywnych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za pomocą odpowiednich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przykłady rozwiązań krzyżówek genetycznych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dotyczące jednogenowego dziedziczenia cech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dziedziczenie jednogenowe, posługuje się podstawowymi pojęciamiz genetyki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genotyp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schematy dziedziczenia cech pod kątem określania genotypu oraz fenotypu rodziców i potomstwa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dotyczące dziedziczenia wybranych cech u człowieka</w:t>
            </w:r>
          </w:p>
        </w:tc>
      </w:tr>
      <w:tr>
        <w:trPr>
          <w:trHeight w:val="258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znaczenie wiedzy na temat grup krwi i czynnika Rhw 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za pomocą symboli genotypy osób o poszczególnych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schematy dziedziczenia grup krwi układu AB0 pod kątem określania genotypui fenotypu potomstwa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dotyczące dziedziczenia grup krwi i czynnika Rh u człowieka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zastosowanie wiedzy na temat grup krwi i czynnika Rh w życiu człowieka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7. Dziedziczenie płci u człowieka i cech sprzężonych z płcią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rozpoznaje zestawy chromosomów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dziedziczenie płci u 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charakterystyczne objawy daltonizmu i hemofilii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choroby sprzężone z płcią i jakimi symbolami zapisujemy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krzyżówki genetyczne dotyczące dziedziczenia cech sprzężonych z płcią w celu ustalenia fenotypów oraz genotypów rodziców i potomstwa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genetyczne dotyczące chorób sprzężonych z płcią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 lekcji 1–7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 w:asciiTheme="minorHAnsi" w:eastAsiaTheme="minorHAnsi" w:hAnsiTheme="minorHAnsi"/>
                <w:lang w:eastAsia="en-US"/>
              </w:rPr>
            </w:pPr>
            <w:r>
              <w:rPr>
                <w:rStyle w:val="Boldasia"/>
                <w:b/>
                <w:caps/>
                <w:color w:val="auto"/>
              </w:rPr>
              <w:t>DZIAŁ 2. ZMIENNOŚĆ GENETYCZNA I EWOLUCJONIZM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cech człowieka będących przejawami zmienności dziedzicznej i niedziedzicznej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przykłady czynników mutagennych fizycznych, chemicznych i biologicznych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mutacje genowei 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że proces mejozy oraz zapłodnienie są przyczyną występowania zmienności rekombinacyjnej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że nowotwory są skutkiem mutacji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przyczynę i objawy zespołu Downa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chorób genetycznych człowieka uwarunkowanych mutacjami genowymi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krótko opisuje objawy mukowiscydozy i 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rozpoznaje zestaw chromosomów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krzyżówki genetyczne dotyczące dziedziczenia chorób (na przykładzie mukowiscydozy)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przyczyny chorób genetycznych człowieka warunkowanych mutacjami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jest ewolucja organizmów i 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skamieniałości i krótko przedstawia sposób ich powstawania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dlaczego formy przejściowe i żywe skamieniałości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świadectw ewolucji opartych na analizie porównawczej budowy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anatomicznej, fizjologii i DNA współcześnie występujących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źródła wiedzy o przebiegu ewolucji organizmów na wybranych przykładach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zmienność genetyczną, nadmiar potomstwai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na czym polega rola zmienności genetycznej i nadmiaru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sposób działania do- boru naturalnego na organizmy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ras i 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działania doboru naturalnego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dobór naturalnyi dobór sztuczny, wskazując podobieństwa i różnice między nimi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13. Miejsce człowiekaw świecie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przynależność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najważniejsze podobieństwa i różnice między człowiekiem a małpami człekokształtnymi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najważniejsze zmiany w budowie i funkcjonowaniu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krótko opisuje wybranych przodków człowieka (australopitek, człowiek zręczny, człowiek wyprostowany)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znaczenie zmian ewolucyjnych w budowiei funkcjonowaniu organizmu człowieka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•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 w:asciiTheme="minorHAnsi" w:eastAsiaTheme="minorHAnsi" w:hAnsiTheme="minorHAnsi"/>
                <w:lang w:eastAsia="en-US"/>
              </w:rPr>
            </w:pPr>
            <w:r>
              <w:rPr>
                <w:rStyle w:val="Boldasia"/>
                <w:b/>
                <w:caps/>
                <w:color w:val="auto"/>
              </w:rPr>
              <w:t>DZIAŁ 3. PODSTAWY EKOLOGII</w:t>
            </w:r>
          </w:p>
        </w:tc>
      </w:tr>
      <w:tr>
        <w:trPr>
          <w:trHeight w:val="1462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żywe (biotyczne)i nieożywione (abiotyczne)elementy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czym zajmuje się ekologia jako nauka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w kolejności poziomy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znaczenie pojęć: ekosystem,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znaczenie wiedzy ekologicznej w życiu człowiekai dla zachowania równowagiw środowisku przyrodniczym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zależności między organizmami a środowiskiem</w:t>
            </w:r>
          </w:p>
        </w:tc>
      </w:tr>
      <w:tr>
        <w:trPr>
          <w:trHeight w:val="1326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jest populacjai jakie są jej cechy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cechy populacji: liczebność i 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bada liczebność i rozmieszczenie wybranego gatunku rośliny zielnej na podstawie instrukcji</w:t>
            </w:r>
          </w:p>
          <w:p>
            <w:pPr>
              <w:pStyle w:val="Normal"/>
              <w:widowControl w:val="false"/>
              <w:spacing w:lineRule="exact" w:line="252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rozrodczośći śmiertelność populacji i jakiwywierają one wpływ naliczebność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metodę badania liczebności, rozmieszczeniai zagęszczenia populacji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struktury populacji –przestrzenną, wiekową i 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dokonuje w terenie obserwacji liczebności, rozmieszczeniai zagęszczenia wybranego gatunku rośliny zielnej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potrzebę stosowania naukowych metod badawczych podczas badania podstawowych cech populacji</w:t>
            </w:r>
          </w:p>
        </w:tc>
      </w:tr>
      <w:tr>
        <w:trPr>
          <w:trHeight w:val="33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pasożytnictwo i konkurencja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zasoby przyrody,o które konkurują przedstawiciele jednego gatunku międzysobą i z 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pasożytów wewnętrznych i zewnętrznych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identyfikuje konkurencję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 pasożytnictwo na podstawieopisu oddziaływania,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adaptacje wybranych gatunków zwierząt i roślin do pasożytniczego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oddziaływania antagonistyczne: konkurencjęi pasożytnictwo</w:t>
            </w:r>
          </w:p>
        </w:tc>
      </w:tr>
      <w:tr>
        <w:trPr>
          <w:trHeight w:val="247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18. Drapieżnictwo. Roślinożerność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drapieżnictwoi roślinożerność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drapieżników i ich ofiar oraz roślini roślinożerców z najbliższegootoczenia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przystosowania ssaków mięsożernych (drapieżników) do chwytania zdobyczy oraz obronne adaptacje ich ofiar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przystosowań roślin chroniących je przed zjadaniem przez roślinożerców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identyfikuje drapieżnictwoi roślinożerność na podstawieopisu, fotografii, rysunków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adaptacjezwierząt do odżywiania siępokarmem roślinnym naprzykładzie wybranego ssakaroślinożernego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jak zjadający i zjadani wpływają na swoją liczebność w 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oddziaływania antagonistyczne: drapieżnictwoi roślinożerność</w:t>
            </w:r>
          </w:p>
        </w:tc>
      </w:tr>
      <w:tr>
        <w:trPr>
          <w:trHeight w:val="923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wyróżnia trzy typy relacji nieantagonistycznych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organizmów z najbliższego otoczenia odnoszących korzyści ze współpracyze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na wybranych przykładach organizmów wyjaśnia oddziaływania nieantagonistyczne: mutualizm, protokooperacją i 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identyfikuje nieantagonistyczne relacje między gatunkami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 na wybranych przykładach, że mutualizm jest konieczny i wzajemnie korzystny dla przeżycia obu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oddziaływania nieantagonistyczne pod kątem znaczenia dla organizmów współpracujących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producentówi konsumentów (I-go i kolejnych rzędów), destruentówwybranej biocenozy lądoweji wodnej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zasady schematycznego zapisu prostego łańcuchapokarmowego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są: łańcuch pokarmowy, poziomy troficzne oraz sieć pokarmowa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rolę destruentów w 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rolę producentów, konsumentów i destruentóww obiegu materii i przepływie energii przez ekosystem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konstruuje łańcuchy pokarmowe oraz proste sieci po- karmowe na podstawie opisu, schematu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strukturę troficzną wybranego ekosystemu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niezbędność każdego z ogniw sieci troficznej w utrzymaniu równowagi ekosystemu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•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auto"/>
              </w:rPr>
            </w:pPr>
            <w:r>
              <w:rPr>
                <w:rStyle w:val="Boldasia"/>
                <w:b/>
                <w:caps/>
                <w:color w:val="auto"/>
              </w:rPr>
              <w:t>DZIAŁ 4. ŚRODOWISKO PRZYRODNICZE – UŻYTKOWANIE I OCHRONA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wpływu wy- branych czynników abiotycznych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środowisko lądowei wodne pod kątem czynnikówabiotycznych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wpływu stężenia dwutlenku siarki w powietrzu na organizmy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 powiązania między żywymi i nieożywionymi czynnikami środowiska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oznacza termin tolerancja ekologiczna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czynników środowiska, na które organizmy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to jest zakres tolerancji ekologicznej organizmów na wybrane czynniki środowiska (temperaturę, wilgotność)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gatunków o wąskim i o szerokim zakresietolerancji ekologicznej wobecwybranego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gatunków wskaźnikowych i 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znaczy, że gatunek jest eurybiontem lub stenobiontem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porosty jako organizmy wskaźnikowe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planuje i przeprowadza obserwację pozwalającą określić za pomocą skali porostowej stopień zanieczyszczenia powietrza dwutlenkiem siarki w miejscu zamieszkania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zasobów przyrody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dokonuje podziału zasobów przyrody na odnawialne i nieodnawialne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na podstawie wybranych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pozyskiwania energii z odnawialnych zasobów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dlaczego nieodnawialne zasoby przyrody należy racjonalnie użytkować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dlaczego rozwój zrównoważony jest niezbędny dla mieszkańców naszej planety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propozycje racjonalnego gospodarowania zasobami przyrody zgodniez zasadą zrównoważonego rozwoju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różnorodności gatunkowej w 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gospodarczego użytkowania ekosystemów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poziomy różnorodności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istotę różnorodności biologicznej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przyczyny spadku różnorodności biologicznej w ekosystemach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na wybranych przykładach, że niewłaściwe gospodarowanie ekosystemami prowadzi do zmniejszania różnorodności biologicznej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działańprzyczyniających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w jaki sposób ogrody botaniczne i ogrody zoologiczne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ochrony różnorodności biologicznej w ekosystemach użytkowanych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 związek między bankami genów a różnorodnością biologiczną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konieczność ochrony różnorodności biologicznej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formy ochrony w Polsce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formochrony przyrody w najbliższejokolicy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formy ochrony w Polsce i uzasadnia konieczność ich stosowania dla zachowania gatunków i 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charakterystykę wybranych form ochrony przyrodyw 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celowość utworzenia obszarów Natura 2000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argumenty przemawiające za tym, że należy chronić nie tylko poszczególne gatunki organizmów, lecz całą różno- rodność biologiczną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>
      <w:pPr>
        <w:pStyle w:val="001TekstpodstawowyNieuzywanefiz"/>
        <w:jc w:val="left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20" w:header="708" w:top="1560" w:footer="0" w:bottom="226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endaPl-Bol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Dutch801HdEU-Normal">
    <w:charset w:val="ee"/>
    <w:family w:val="roman"/>
    <w:pitch w:val="variable"/>
  </w:font>
  <w:font w:name="AgendaPl-BoldCondensed">
    <w:charset w:val="ee"/>
    <w:family w:val="roman"/>
    <w:pitch w:val="variable"/>
  </w:font>
  <w:font w:name="AgendaPl-Regular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column">
                <wp:posOffset>-330200</wp:posOffset>
              </wp:positionH>
              <wp:positionV relativeFrom="paragraph">
                <wp:posOffset>1270</wp:posOffset>
              </wp:positionV>
              <wp:extent cx="6699250" cy="1270"/>
              <wp:effectExtent l="0" t="0" r="0" b="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0.1pt" to="725.55pt,0.1pt" ID="Łącznik prostoliniowy 3" stroked="t" style="position:absolute">
              <v:stroke color="#f09120" weight="19080" joinstyle="miter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column">
                <wp:posOffset>-330200</wp:posOffset>
              </wp:positionH>
              <wp:positionV relativeFrom="paragraph">
                <wp:posOffset>111760</wp:posOffset>
              </wp:positionV>
              <wp:extent cx="6699250" cy="1270"/>
              <wp:effectExtent l="0" t="0" r="0" b="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8.8pt" to="725.55pt,8.8pt" ID="Łącznik prostoliniowy 5" stroked="t" style="position:absolute">
              <v:stroke color="black" weight="6480" joinstyle="miter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  <w:tab/>
      <w:tab/>
      <w:tab/>
      <w:tab/>
      <w:tab/>
      <w:tab/>
      <w:tab/>
      <w:tab/>
      <w:tab/>
      <w:tab/>
      <w:tab/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  <w:p>
    <w:pPr>
      <w:pStyle w:val="Stopka"/>
      <w:tabs>
        <w:tab w:val="clear" w:pos="4536"/>
        <w:tab w:val="clear" w:pos="9072"/>
        <w:tab w:val="left" w:pos="1035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ind w:left="142" w:right="-283" w:firstLine="1298"/>
      <w:rPr>
        <w:b/>
        <w:b/>
        <w:color w:val="F09120"/>
      </w:rPr>
    </w:pPr>
    <w:r>
      <w:rPr>
        <w:b/>
        <w:color w:val="F09120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right="-283" w:hanging="0"/>
      <w:rPr/>
    </w:pPr>
    <w:r>
      <w:rPr>
        <w:b/>
        <w:color w:val="F09120"/>
      </w:rPr>
      <w:t xml:space="preserve"> </w:t>
    </w:r>
    <w:r>
      <w:rPr>
        <w:b/>
        <w:color w:val="F09120"/>
      </w:rPr>
      <w:t>Biologia</w:t>
    </w:r>
    <w:r>
      <w:rPr/>
      <w:t xml:space="preserve">| Klasa 8 </w:t>
      <w:tab/>
      <w:tab/>
      <w:tab/>
      <w:tab/>
      <w:tab/>
      <w:tab/>
      <w:tab/>
      <w:tab/>
      <w:tab/>
      <w:tab/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671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uiPriority w:val="99"/>
    <w:qFormat/>
    <w:rsid w:val="003d6671"/>
    <w:rPr>
      <w:b/>
      <w:bCs/>
    </w:rPr>
  </w:style>
  <w:style w:type="character" w:styleId="BoldCondensed" w:customStyle="1">
    <w:name w:val="BoldCondensed"/>
    <w:uiPriority w:val="99"/>
    <w:qFormat/>
    <w:rsid w:val="003d6671"/>
    <w:rPr>
      <w:b/>
      <w:bCs/>
    </w:rPr>
  </w:style>
  <w:style w:type="character" w:styleId="Boldasia" w:customStyle="1">
    <w:name w:val="bold (asia)"/>
    <w:uiPriority w:val="99"/>
    <w:qFormat/>
    <w:rsid w:val="003d6671"/>
    <w:rPr>
      <w:b/>
      <w:bCs/>
    </w:rPr>
  </w:style>
  <w:style w:type="character" w:styleId="Indeksdolny" w:customStyle="1">
    <w:name w:val="Indeks dolny"/>
    <w:uiPriority w:val="99"/>
    <w:qFormat/>
    <w:rsid w:val="003d6671"/>
    <w:rPr>
      <w:sz w:val="22"/>
      <w:szCs w:val="22"/>
      <w:vertAlign w:val="subscript"/>
    </w:rPr>
  </w:style>
  <w:style w:type="character" w:styleId="Bezdzielenia" w:customStyle="1">
    <w:name w:val="bez dzielenia"/>
    <w:uiPriority w:val="99"/>
    <w:qFormat/>
    <w:rsid w:val="003d6671"/>
    <w:rPr>
      <w:u w:val="none"/>
    </w:rPr>
  </w:style>
  <w:style w:type="character" w:styleId="Kropaniebieska" w:customStyle="1">
    <w:name w:val="kropa niebieska"/>
    <w:uiPriority w:val="99"/>
    <w:qFormat/>
    <w:rsid w:val="003d6671"/>
    <w:rPr>
      <w:rFonts w:ascii="AgendaPl-Bold" w:hAnsi="AgendaPl-Bold" w:cs="AgendaPl-Bold"/>
      <w:b/>
      <w:bCs/>
      <w:color w:val="15419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a39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9c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39c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rakstyluakapitowego" w:customStyle="1">
    <w:name w:val="[Brak stylu akapitowego]"/>
    <w:qFormat/>
    <w:rsid w:val="003d6671"/>
    <w:pPr>
      <w:widowControl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cs="MinionPro-Regular" w:eastAsia=""/>
      <w:color w:val="000000"/>
      <w:kern w:val="0"/>
      <w:sz w:val="24"/>
      <w:szCs w:val="24"/>
      <w:lang w:val="pl-PL" w:eastAsia="pl-PL" w:bidi="ar-SA"/>
    </w:rPr>
  </w:style>
  <w:style w:type="paragraph" w:styleId="Tytu1NieuzywaneTytuy" w:customStyle="1">
    <w:name w:val="tytuł 1 (Nieuzywane:Tytuły)"/>
    <w:basedOn w:val="Brakstyluakapitowego"/>
    <w:uiPriority w:val="99"/>
    <w:qFormat/>
    <w:rsid w:val="003d6671"/>
    <w:pPr>
      <w:suppressAutoHyphens w:val="true"/>
      <w:spacing w:lineRule="atLeast" w:line="600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styleId="001TekstpodstawowyNieuzywanefiz" w:customStyle="1">
    <w:name w:val="001 Tekst podstawowy (Nieuzywane:fiz)"/>
    <w:basedOn w:val="Brakstyluakapitowego"/>
    <w:uiPriority w:val="99"/>
    <w:qFormat/>
    <w:rsid w:val="003d6671"/>
    <w:pPr>
      <w:tabs>
        <w:tab w:val="clear" w:pos="720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-Normal" w:hAnsi="Dutch801HdEU-Normal" w:cs="Dutch801HdEU-Normal"/>
      <w:sz w:val="20"/>
      <w:szCs w:val="20"/>
    </w:rPr>
  </w:style>
  <w:style w:type="paragraph" w:styleId="TabelaglowkaNieuzywanefiz" w:customStyle="1">
    <w:name w:val="tabela glowka (Nieuzywane:fiz)"/>
    <w:basedOn w:val="Brakstyluakapitowego"/>
    <w:uiPriority w:val="99"/>
    <w:qFormat/>
    <w:rsid w:val="003d6671"/>
    <w:pPr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styleId="Tabelabelkatabele" w:customStyle="1">
    <w:name w:val="tabela - belka (tabele)"/>
    <w:basedOn w:val="Brakstyluakapitowego"/>
    <w:uiPriority w:val="99"/>
    <w:qFormat/>
    <w:rsid w:val="003d6671"/>
    <w:pPr>
      <w:suppressAutoHyphens w:val="true"/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styleId="TabelatekstbolddolewejNieuzywanefiz" w:customStyle="1">
    <w:name w:val="tabela tekst bold do lewej (Nieuzywane:fiz)"/>
    <w:basedOn w:val="Brakstyluakapitowego"/>
    <w:uiPriority w:val="99"/>
    <w:qFormat/>
    <w:rsid w:val="003d6671"/>
    <w:pPr>
      <w:tabs>
        <w:tab w:val="clear" w:pos="720"/>
        <w:tab w:val="left" w:pos="170" w:leader="none"/>
      </w:tabs>
      <w:spacing w:lineRule="atLeast" w:line="255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TabelatekstpodstawowyNieuzywaneGeografia" w:customStyle="1">
    <w:name w:val="tabela - tekst podstawowy (Nieuzywane:Geografia)"/>
    <w:basedOn w:val="Brakstyluakapitowego"/>
    <w:uiPriority w:val="99"/>
    <w:qFormat/>
    <w:rsid w:val="003d6671"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podstawowykropatabele" w:customStyle="1">
    <w:name w:val="tabela - tekst podstawowy kropa (tabele)"/>
    <w:basedOn w:val="TabelatekstpodstawowyNieuzywaneGeografia"/>
    <w:uiPriority w:val="99"/>
    <w:qFormat/>
    <w:rsid w:val="00617a17"/>
    <w:pPr>
      <w:numPr>
        <w:ilvl w:val="0"/>
        <w:numId w:val="1"/>
      </w:numPr>
      <w:ind w:left="170" w:hanging="170"/>
    </w:pPr>
    <w:rPr/>
  </w:style>
  <w:style w:type="paragraph" w:styleId="Tabelateksttabele" w:customStyle="1">
    <w:name w:val="tabela tekst (tabele)"/>
    <w:basedOn w:val="Brakstyluakapitowego"/>
    <w:uiPriority w:val="99"/>
    <w:qFormat/>
    <w:rsid w:val="003d6671"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bolddolewejtabele" w:customStyle="1">
    <w:name w:val="tabela tekst bold do lewej (tabele)"/>
    <w:basedOn w:val="Brakstyluakapitowego"/>
    <w:uiPriority w:val="99"/>
    <w:qFormat/>
    <w:rsid w:val="003d6671"/>
    <w:pPr>
      <w:tabs>
        <w:tab w:val="clear" w:pos="720"/>
        <w:tab w:val="left" w:pos="170" w:leader="none"/>
      </w:tabs>
      <w:spacing w:lineRule="atLeast" w:line="230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7f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39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10</Pages>
  <Words>1795</Words>
  <Characters>12204</Characters>
  <CharactersWithSpaces>13816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2024-04-17T07:16:00Z</dcterms:created>
  <dc:creator>Piotr Uszyński</dc:creator>
  <dc:description/>
  <dc:language>pl-PL</dc:language>
  <cp:lastModifiedBy/>
  <dcterms:modified xsi:type="dcterms:W3CDTF">2024-04-23T09:35:41Z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