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50" w:rsidRPr="00437050" w:rsidRDefault="00437050" w:rsidP="00437050">
      <w:pPr>
        <w:pStyle w:val="StronaTytuowaAutorzy"/>
        <w:spacing w:line="120" w:lineRule="atLeast"/>
        <w:rPr>
          <w:rFonts w:asciiTheme="majorHAnsi" w:hAnsiTheme="majorHAnsi"/>
          <w:sz w:val="22"/>
          <w:szCs w:val="22"/>
        </w:rPr>
      </w:pPr>
    </w:p>
    <w:p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color w:val="00B0F0"/>
          <w:sz w:val="22"/>
          <w:szCs w:val="22"/>
        </w:rPr>
      </w:pPr>
    </w:p>
    <w:p w:rsidR="00A67E9D" w:rsidRPr="00437050" w:rsidRDefault="00A67E9D" w:rsidP="00437050">
      <w:pPr>
        <w:pStyle w:val="Nagwek4"/>
        <w:spacing w:line="120" w:lineRule="atLeast"/>
        <w:jc w:val="right"/>
        <w:rPr>
          <w:rFonts w:asciiTheme="majorHAnsi" w:hAnsiTheme="majorHAnsi"/>
          <w:b w:val="0"/>
          <w:bCs w:val="0"/>
          <w:sz w:val="22"/>
          <w:szCs w:val="22"/>
        </w:rPr>
      </w:pPr>
    </w:p>
    <w:p w:rsidR="004F1C69" w:rsidRDefault="004F1C69" w:rsidP="00437050">
      <w:pPr>
        <w:pStyle w:val="StronaTytuowaTytu"/>
        <w:spacing w:line="120" w:lineRule="atLeast"/>
      </w:pPr>
    </w:p>
    <w:p w:rsidR="00AC4A3B" w:rsidRDefault="007C7108" w:rsidP="00AC4A3B">
      <w:pPr>
        <w:pStyle w:val="Tytu"/>
        <w:jc w:val="center"/>
      </w:pPr>
      <w:r>
        <w:t>Wymagania edukacyjne z matematyki dla klasy 1 liceum</w:t>
      </w:r>
    </w:p>
    <w:p w:rsidR="00A67E9D" w:rsidRDefault="00AC4A3B" w:rsidP="007C7108">
      <w:pPr>
        <w:pStyle w:val="Tytu"/>
        <w:jc w:val="center"/>
      </w:pPr>
      <w:r>
        <w:br/>
        <w:t xml:space="preserve"> </w:t>
      </w:r>
      <w:r w:rsidR="007C7108">
        <w:t>Z</w:t>
      </w:r>
      <w:r>
        <w:t>akres podstawowy</w:t>
      </w:r>
      <w:r>
        <w:br/>
      </w:r>
    </w:p>
    <w:p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67E9D" w:rsidRPr="00437050" w:rsidRDefault="007C7108" w:rsidP="00437050">
      <w:pPr>
        <w:spacing w:line="120" w:lineRule="atLeast"/>
        <w:rPr>
          <w:rFonts w:asciiTheme="majorHAnsi" w:hAnsiTheme="majorHAnsi"/>
          <w:sz w:val="22"/>
          <w:szCs w:val="22"/>
        </w:rPr>
      </w:pPr>
      <w:r w:rsidRPr="007C7108">
        <w:rPr>
          <w:rFonts w:asciiTheme="majorHAnsi" w:hAnsiTheme="majorHAnsi"/>
          <w:b/>
          <w:sz w:val="22"/>
          <w:szCs w:val="22"/>
        </w:rPr>
        <w:t>Pogrubioną czcionką</w:t>
      </w:r>
      <w:r>
        <w:rPr>
          <w:rFonts w:asciiTheme="majorHAnsi" w:hAnsiTheme="majorHAnsi"/>
          <w:sz w:val="22"/>
          <w:szCs w:val="22"/>
        </w:rPr>
        <w:t xml:space="preserve"> oznaczono wymagania, które wykraczają poza podstawę programową.</w:t>
      </w:r>
    </w:p>
    <w:p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C7108" w:rsidRDefault="00AB2B6D" w:rsidP="007C7108">
      <w:pPr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bookmarkStart w:id="0" w:name="_Hlk148986025"/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7C7108" w:rsidRPr="007C7108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bookmarkEnd w:id="0"/>
          <w:p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>
        <w:tc>
          <w:tcPr>
            <w:tcW w:w="9212" w:type="dxa"/>
          </w:tcPr>
          <w:p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bookmarkStart w:id="1" w:name="_Hlk148986263"/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7C7108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7C7108" w:rsidRPr="007C7108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Ocenę bardzo dobrą, jeśli </w:t>
      </w:r>
      <w:r w:rsidR="00072A32">
        <w:rPr>
          <w:rFonts w:asciiTheme="majorHAnsi" w:hAnsiTheme="majorHAnsi"/>
          <w:color w:val="00B050"/>
          <w:sz w:val="22"/>
          <w:szCs w:val="22"/>
        </w:rPr>
        <w:t>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2A80" w:rsidRPr="00437050" w:rsidTr="004573F7">
        <w:tc>
          <w:tcPr>
            <w:tcW w:w="9062" w:type="dxa"/>
          </w:tcPr>
          <w:bookmarkEnd w:id="1"/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:rsidTr="004573F7">
        <w:tc>
          <w:tcPr>
            <w:tcW w:w="9062" w:type="dxa"/>
          </w:tcPr>
          <w:p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:rsidTr="004573F7">
        <w:tc>
          <w:tcPr>
            <w:tcW w:w="9062" w:type="dxa"/>
          </w:tcPr>
          <w:p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7C71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072A32" w:rsidRDefault="001218AA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:rsidTr="00E45B1F">
        <w:tc>
          <w:tcPr>
            <w:tcW w:w="9212" w:type="dxa"/>
          </w:tcPr>
          <w:p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:rsidTr="00E45B1F">
        <w:tc>
          <w:tcPr>
            <w:tcW w:w="9212" w:type="dxa"/>
          </w:tcPr>
          <w:p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682BC0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p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>
        <w:tc>
          <w:tcPr>
            <w:tcW w:w="9212" w:type="dxa"/>
          </w:tcPr>
          <w:p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>
        <w:tc>
          <w:tcPr>
            <w:tcW w:w="9212" w:type="dxa"/>
          </w:tcPr>
          <w:p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>
        <w:tc>
          <w:tcPr>
            <w:tcW w:w="9212" w:type="dxa"/>
          </w:tcPr>
          <w:p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>
        <w:tc>
          <w:tcPr>
            <w:tcW w:w="9212" w:type="dxa"/>
          </w:tcPr>
          <w:p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proofErr w:type="spellEnd"/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>
        <w:tc>
          <w:tcPr>
            <w:tcW w:w="9212" w:type="dxa"/>
          </w:tcPr>
          <w:p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7.25pt" o:ole="">
                  <v:imagedata r:id="rId8" o:title=""/>
                </v:shape>
                <o:OLEObject Type="Embed" ProgID="Equation.3" ShapeID="_x0000_i1025" DrawAspect="Content" ObjectID="_1759599335" r:id="rId9"/>
              </w:objec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1218AA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2897" w:rsidRPr="00437050">
        <w:tc>
          <w:tcPr>
            <w:tcW w:w="9212" w:type="dxa"/>
          </w:tcPr>
          <w:p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6" type="#_x0000_t75" style="width:33pt;height:15pt" o:ole="">
                  <v:imagedata r:id="rId10" o:title=""/>
                </v:shape>
                <o:OLEObject Type="Embed" ProgID="Equation.3" ShapeID="_x0000_i1026" DrawAspect="Content" ObjectID="_1759599336" r:id="rId11"/>
              </w:object>
            </w:r>
          </w:p>
        </w:tc>
      </w:tr>
      <w:tr w:rsidR="00BD5FE9" w:rsidRPr="00437050">
        <w:tc>
          <w:tcPr>
            <w:tcW w:w="9212" w:type="dxa"/>
          </w:tcPr>
          <w:p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27" type="#_x0000_t75" style="width:36pt;height:27pt" o:ole="">
                  <v:imagedata r:id="rId12" o:title=""/>
                </v:shape>
                <o:OLEObject Type="Embed" ProgID="Equation.3" ShapeID="_x0000_i1027" DrawAspect="Content" ObjectID="_1759599337" r:id="rId13"/>
              </w:objec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stosuje nierówności pierwszego stopnia z jedną niewiadomą do rozwiązywania zadań osadzonych w kontekście praktycznym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072A32" w:rsidRDefault="001218AA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>
        <w:tc>
          <w:tcPr>
            <w:tcW w:w="9212" w:type="dxa"/>
          </w:tcPr>
          <w:p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4E2C89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:rsidTr="00C97FC8">
        <w:tc>
          <w:tcPr>
            <w:tcW w:w="9212" w:type="dxa"/>
          </w:tcPr>
          <w:p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4E2C89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:rsidTr="00C97FC8">
        <w:tc>
          <w:tcPr>
            <w:tcW w:w="9212" w:type="dxa"/>
          </w:tcPr>
          <w:p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4E2C89" w:rsidRPr="00072A32" w:rsidRDefault="004E2C89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2C89" w:rsidRPr="00437050" w:rsidTr="004E2C89">
        <w:tc>
          <w:tcPr>
            <w:tcW w:w="9212" w:type="dxa"/>
          </w:tcPr>
          <w:p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:rsidR="00DC2F33" w:rsidRDefault="00DC2F33">
      <w:pPr>
        <w:rPr>
          <w:rFonts w:asciiTheme="majorHAnsi" w:hAnsiTheme="majorHAnsi"/>
          <w:b/>
          <w:bCs/>
          <w:szCs w:val="22"/>
        </w:rPr>
      </w:pPr>
    </w:p>
    <w:p w:rsidR="00CD3AB8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4. FUNKCJE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CD3AB8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:rsidTr="007A262B">
        <w:tc>
          <w:tcPr>
            <w:tcW w:w="9062" w:type="dxa"/>
          </w:tcPr>
          <w:p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:rsidTr="007A262B">
        <w:tc>
          <w:tcPr>
            <w:tcW w:w="906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28" type="#_x0000_t75" style="width:54.75pt;height:15pt" o:ole="">
                  <v:imagedata r:id="rId14" o:title=""/>
                </v:shape>
                <o:OLEObject Type="Embed" ProgID="Equation.3" ShapeID="_x0000_i1028" DrawAspect="Content" ObjectID="_1759599338" r:id="rId1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29" type="#_x0000_t75" style="width:53.25pt;height:15pt" o:ole="">
                  <v:imagedata r:id="rId16" o:title=""/>
                </v:shape>
                <o:OLEObject Type="Embed" ProgID="Equation.3" ShapeID="_x0000_i1029" DrawAspect="Content" ObjectID="_1759599339" r:id="rId17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0" type="#_x0000_t75" style="width:68.25pt;height:15pt" o:ole="">
                  <v:imagedata r:id="rId18" o:title=""/>
                </v:shape>
                <o:OLEObject Type="Embed" ProgID="Equation.3" ShapeID="_x0000_i1030" DrawAspect="Content" ObjectID="_1759599340" r:id="rId19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1" type="#_x0000_t75" style="width:42.75pt;height:15pt" o:ole="">
                  <v:imagedata r:id="rId20" o:title=""/>
                </v:shape>
                <o:OLEObject Type="Embed" ProgID="Equation.3" ShapeID="_x0000_i1031" DrawAspect="Content" ObjectID="_1759599341" r:id="rId21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2" type="#_x0000_t75" style="width:38.25pt;height:15pt" o:ole="">
                  <v:imagedata r:id="rId22" o:title=""/>
                </v:shape>
                <o:OLEObject Type="Embed" ProgID="Equation.3" ShapeID="_x0000_i1032" DrawAspect="Content" ObjectID="_1759599342" r:id="rId23"/>
              </w:objec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CD3AB8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="006748CD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3" type="#_x0000_t75" style="width:180pt;height:17.25pt" o:ole="">
                  <v:imagedata r:id="rId24" o:title=""/>
                </v:shape>
                <o:OLEObject Type="Embed" ProgID="Equation.3" ShapeID="_x0000_i1033" DrawAspect="Content" ObjectID="_1759599343" r:id="rId2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="006748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:rsidTr="00CD3AB8">
        <w:tc>
          <w:tcPr>
            <w:tcW w:w="921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wykresy funkcji, stosując przekształcenia wykresu, w trudniejszych przypadkach</w:t>
            </w:r>
          </w:p>
        </w:tc>
      </w:tr>
      <w:tr w:rsidR="00C82D24" w:rsidRPr="00437050" w:rsidTr="00CD3AB8">
        <w:tc>
          <w:tcPr>
            <w:tcW w:w="9212" w:type="dxa"/>
          </w:tcPr>
          <w:p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CD3AB8" w:rsidRPr="00072A32" w:rsidRDefault="00CD3AB8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:rsidTr="00CD3AB8">
        <w:tc>
          <w:tcPr>
            <w:tcW w:w="9212" w:type="dxa"/>
          </w:tcPr>
          <w:p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34" type="#_x0000_t75" style="width:38.25pt;height:27.75pt" o:ole="">
                  <v:imagedata r:id="rId26" o:title=""/>
                </v:shape>
                <o:OLEObject Type="Embed" ProgID="Equation.3" ShapeID="_x0000_i1034" DrawAspect="Content" ObjectID="_1759599344" r:id="rId27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5</w:t>
      </w:r>
      <w:r w:rsidR="00F42F42" w:rsidRPr="000E37BC">
        <w:rPr>
          <w:rFonts w:asciiTheme="majorHAnsi" w:hAnsiTheme="majorHAnsi"/>
          <w:szCs w:val="22"/>
        </w:rPr>
        <w:t xml:space="preserve">. </w:t>
      </w:r>
      <w:r w:rsidR="001218AA" w:rsidRPr="000E37BC">
        <w:rPr>
          <w:rFonts w:asciiTheme="majorHAnsi" w:hAnsiTheme="majorHAnsi"/>
          <w:szCs w:val="22"/>
        </w:rPr>
        <w:t>FUNKCJA LINIOWA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1218AA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437050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A372D9" w:rsidRPr="00437050" w:rsidTr="003D2D3C">
        <w:tc>
          <w:tcPr>
            <w:tcW w:w="9062" w:type="dxa"/>
          </w:tcPr>
          <w:p w:rsidR="00A372D9" w:rsidRPr="00437050" w:rsidRDefault="00A96AF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dane współrzędne </w:t>
            </w:r>
            <w:r w:rsidR="00113869" w:rsidRPr="00437050">
              <w:rPr>
                <w:rFonts w:asciiTheme="majorHAnsi" w:hAnsiTheme="majorHAnsi"/>
                <w:sz w:val="22"/>
                <w:szCs w:val="22"/>
              </w:rPr>
              <w:t>dwóch punktów należących do tej prostej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437050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B3FCB" w:rsidRPr="00437050">
              <w:rPr>
                <w:rFonts w:asciiTheme="majorHAnsi" w:hAnsiTheme="majorHAnsi"/>
                <w:sz w:val="22"/>
                <w:szCs w:val="22"/>
              </w:rPr>
              <w:t xml:space="preserve">równanie prostej przechodzącej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przez dane dwa punkty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4B3FCB" w:rsidRPr="00437050" w:rsidTr="003D2D3C">
        <w:tc>
          <w:tcPr>
            <w:tcW w:w="9062" w:type="dxa"/>
          </w:tcPr>
          <w:p w:rsidR="004B3FCB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 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>równań metodą algebraiczną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 xml:space="preserve"> graficzną 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832AA6" w:rsidRPr="00437050" w:rsidTr="003D2D3C">
        <w:tc>
          <w:tcPr>
            <w:tcW w:w="9062" w:type="dxa"/>
          </w:tcPr>
          <w:p w:rsidR="00832AA6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</w:tbl>
    <w:p w:rsidR="001218AA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Pr="00437050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lastRenderedPageBreak/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1218AA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072A32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color w:val="00B050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072A32" w:rsidRDefault="001218AA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437050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własności funkcji liniowej w zadaniach dotyczących wielokątów 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DB5F30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DB5F30" w:rsidRPr="00437050">
        <w:tc>
          <w:tcPr>
            <w:tcW w:w="9212" w:type="dxa"/>
          </w:tcPr>
          <w:p w:rsidR="00DB5F30" w:rsidRPr="00437050" w:rsidRDefault="00C8244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DB5F30" w:rsidRPr="00437050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  <w:tr w:rsidR="00C01047" w:rsidRPr="00437050">
        <w:tc>
          <w:tcPr>
            <w:tcW w:w="9212" w:type="dxa"/>
          </w:tcPr>
          <w:p w:rsidR="00C01047" w:rsidRPr="00437050" w:rsidRDefault="00C0104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:rsidR="00B10C0F" w:rsidRPr="00437050" w:rsidRDefault="00B10C0F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0D1711" w:rsidRPr="000E37BC" w:rsidRDefault="000D1711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6. PLANIMETRIA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0D1711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trójkąty: ostrokątne, prostokątne, rozwartokątne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sumie miar kątów w trójkącie</w:t>
            </w:r>
            <w:r w:rsidR="003D10A1" w:rsidRPr="00437050">
              <w:rPr>
                <w:rFonts w:asciiTheme="majorHAnsi" w:hAnsiTheme="majorHAnsi"/>
                <w:sz w:val="22"/>
                <w:szCs w:val="22"/>
              </w:rPr>
              <w:t xml:space="preserve"> w prostych przypadkach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podobieństwo trójkątów, wykorzystując cechy podobieństwa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dane figury są podobne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 wielokątach odcinki proporcjonalne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707C99" w:rsidRPr="00437050" w:rsidTr="000D1711">
        <w:tc>
          <w:tcPr>
            <w:tcW w:w="9212" w:type="dxa"/>
          </w:tcPr>
          <w:p w:rsidR="00707C99" w:rsidRPr="00437050" w:rsidRDefault="00C8244F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>równoległość prostych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 xml:space="preserve"> stosując twierdzenie odwrotne do twierdzenia Talesa</w:t>
            </w:r>
          </w:p>
        </w:tc>
      </w:tr>
      <w:tr w:rsidR="005F1D46" w:rsidRPr="00437050" w:rsidTr="000D1711">
        <w:tc>
          <w:tcPr>
            <w:tcW w:w="9212" w:type="dxa"/>
          </w:tcPr>
          <w:p w:rsidR="005F1D46" w:rsidRPr="00437050" w:rsidRDefault="0070262B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0D1711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sumę miar kątów danego wielokąta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liczbę boków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wielokąta,</w:t>
            </w:r>
            <w:r w:rsidR="006748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daną sumę miar jego kątów wewnętrznych 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praktycznych problemów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i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D1711" w:rsidRPr="00072A32" w:rsidRDefault="000D1711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D1711" w:rsidRPr="00437050" w:rsidTr="00072A32">
        <w:tc>
          <w:tcPr>
            <w:tcW w:w="906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Talesa</w:t>
            </w:r>
          </w:p>
        </w:tc>
      </w:tr>
      <w:tr w:rsidR="000D1711" w:rsidRPr="00437050" w:rsidTr="00072A32">
        <w:tc>
          <w:tcPr>
            <w:tcW w:w="9062" w:type="dxa"/>
          </w:tcPr>
          <w:p w:rsidR="000D1711" w:rsidRPr="00437050" w:rsidRDefault="000D1711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oraz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twierdzenia odwrotnego do twierdzenia Talesa</w:t>
            </w:r>
          </w:p>
        </w:tc>
      </w:tr>
      <w:tr w:rsidR="000D1711" w:rsidRPr="00437050" w:rsidTr="00072A32">
        <w:tc>
          <w:tcPr>
            <w:tcW w:w="906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DC5B26" w:rsidRPr="00437050">
              <w:rPr>
                <w:rFonts w:asciiTheme="majorHAnsi" w:hAnsiTheme="majorHAnsi"/>
                <w:sz w:val="22"/>
                <w:szCs w:val="22"/>
              </w:rPr>
              <w:t>twierdzenie o dwusiecznej kąta w trójkącie w zadaniach wymagających przeprowadzenia dowodu</w:t>
            </w:r>
          </w:p>
        </w:tc>
      </w:tr>
      <w:tr w:rsidR="000D1711" w:rsidRPr="00437050" w:rsidTr="00072A32">
        <w:tc>
          <w:tcPr>
            <w:tcW w:w="906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przystawania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podobieństw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figur</w:t>
            </w:r>
          </w:p>
        </w:tc>
      </w:tr>
      <w:tr w:rsidR="005D38A5" w:rsidRPr="00437050" w:rsidTr="00072A32">
        <w:tc>
          <w:tcPr>
            <w:tcW w:w="906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dwusiecznej kąta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 trójkącie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DC2F33" w:rsidRDefault="00DC2F33" w:rsidP="00437050">
      <w:pPr>
        <w:spacing w:line="120" w:lineRule="atLeast"/>
        <w:jc w:val="both"/>
        <w:rPr>
          <w:rFonts w:asciiTheme="majorHAnsi" w:hAnsiTheme="majorHAnsi"/>
          <w:b/>
        </w:rPr>
      </w:pPr>
    </w:p>
    <w:p w:rsidR="001218AA" w:rsidRPr="000E37BC" w:rsidRDefault="00B10C0F" w:rsidP="00437050">
      <w:pPr>
        <w:spacing w:line="120" w:lineRule="atLeast"/>
        <w:jc w:val="both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</w:rPr>
        <w:t>7</w:t>
      </w:r>
      <w:r w:rsidR="005B0925" w:rsidRPr="000E37BC">
        <w:rPr>
          <w:rFonts w:asciiTheme="majorHAnsi" w:hAnsiTheme="majorHAnsi"/>
          <w:b/>
        </w:rPr>
        <w:t xml:space="preserve">. </w:t>
      </w:r>
      <w:r w:rsidR="00A55117">
        <w:rPr>
          <w:rFonts w:asciiTheme="majorHAnsi" w:hAnsiTheme="majorHAnsi"/>
          <w:b/>
        </w:rPr>
        <w:t>WSTĘP</w:t>
      </w:r>
      <w:r w:rsidR="000D1711" w:rsidRPr="000E37BC">
        <w:rPr>
          <w:rFonts w:asciiTheme="majorHAnsi" w:hAnsiTheme="majorHAnsi"/>
          <w:b/>
        </w:rPr>
        <w:t xml:space="preserve"> DO </w:t>
      </w:r>
      <w:r w:rsidR="000E37BC">
        <w:rPr>
          <w:rFonts w:asciiTheme="majorHAnsi" w:hAnsiTheme="majorHAnsi"/>
          <w:b/>
          <w:bCs/>
        </w:rPr>
        <w:t>FUNKCJI KWADRATOWEJ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Uczeń otrzymuje:</w:t>
      </w:r>
    </w:p>
    <w:p w:rsidR="007C7108" w:rsidRDefault="007C7108" w:rsidP="007C7108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dopuszczającą, gdy opanuje od 40-60% poniższych wymagań</w:t>
      </w:r>
    </w:p>
    <w:p w:rsidR="001218AA" w:rsidRPr="00072A32" w:rsidRDefault="007C7108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dostateczną, gdy opanuje od 61-100% poniższych wymagań.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</w:t>
            </w:r>
            <w:r w:rsidR="001218AA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5" type="#_x0000_t75" style="width:47.25pt;height:17.25pt" o:ole="">
                  <v:imagedata r:id="rId28" o:title=""/>
                </v:shape>
                <o:OLEObject Type="Embed" ProgID="Equation.3" ShapeID="_x0000_i1035" DrawAspect="Content" ObjectID="_1759599345" r:id="rId29"/>
              </w:objec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9F338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ustala wzór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funkcji kwadratowej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 postaci kanonicznej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podstawie informacji o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FF1B75" w:rsidRPr="00437050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FF1B75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6" type="#_x0000_t75" style="width:47.25pt;height:17.25pt" o:ole="">
                  <v:imagedata r:id="rId28" o:title=""/>
                </v:shape>
                <o:OLEObject Type="Embed" ProgID="Equation.3" ShapeID="_x0000_i1036" DrawAspect="Content" ObjectID="_1759599346" r:id="rId30"/>
              </w:objec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wzór funkcji kwadratowej z postaci kanonicznej do postaci ogólnej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F51BB2" w:rsidRPr="00437050">
        <w:tc>
          <w:tcPr>
            <w:tcW w:w="9212" w:type="dxa"/>
          </w:tcPr>
          <w:p w:rsidR="00F51BB2" w:rsidRPr="00437050" w:rsidRDefault="00F51BB2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współrzędne wierzchołka paraboli</w:t>
            </w:r>
            <w:r w:rsidR="0013257E" w:rsidRPr="00437050">
              <w:rPr>
                <w:rFonts w:asciiTheme="majorHAnsi" w:hAnsiTheme="majorHAnsi"/>
                <w:sz w:val="22"/>
                <w:szCs w:val="22"/>
              </w:rPr>
              <w:t>, podaje równanie jej osi symetrii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ma dane współrzędne wierzchołka i innego punktu jej wykresu</w:t>
            </w:r>
          </w:p>
        </w:tc>
      </w:tr>
    </w:tbl>
    <w:p w:rsidR="001218AA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72A32" w:rsidRPr="00437050" w:rsidRDefault="00072A32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bookmarkStart w:id="2" w:name="_GoBack"/>
      <w:bookmarkEnd w:id="2"/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lastRenderedPageBreak/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 xml:space="preserve">Uczeń otrzymuje: </w:t>
      </w:r>
    </w:p>
    <w:p w:rsidR="00072A32" w:rsidRDefault="00072A32" w:rsidP="00072A32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dobrą, jeśli opanował poziomy (K) i (P) oraz dodatkowo od50-60% poniższych wymagań</w:t>
      </w:r>
    </w:p>
    <w:p w:rsidR="001218AA" w:rsidRPr="00072A32" w:rsidRDefault="00072A32" w:rsidP="00437050">
      <w:pPr>
        <w:spacing w:line="120" w:lineRule="atLeast"/>
        <w:jc w:val="both"/>
        <w:rPr>
          <w:rFonts w:asciiTheme="majorHAnsi" w:hAnsiTheme="majorHAnsi"/>
          <w:color w:val="00B050"/>
          <w:sz w:val="22"/>
          <w:szCs w:val="22"/>
        </w:rPr>
      </w:pPr>
      <w:r>
        <w:rPr>
          <w:rFonts w:asciiTheme="majorHAnsi" w:hAnsiTheme="majorHAnsi"/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F1B75" w:rsidRPr="00437050">
        <w:tc>
          <w:tcPr>
            <w:tcW w:w="9212" w:type="dxa"/>
          </w:tcPr>
          <w:p w:rsidR="00FF1B75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 fun</w:t>
            </w:r>
            <w:r w:rsidR="00F51BB2" w:rsidRPr="00437050">
              <w:rPr>
                <w:rFonts w:asciiTheme="majorHAnsi" w:hAnsiTheme="majorHAnsi"/>
                <w:sz w:val="22"/>
                <w:szCs w:val="22"/>
              </w:rPr>
              <w:t xml:space="preserve">kcji kwadratowej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podaje jej własności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C25E9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 na podstawie informacji o jej własnościach, np. zbiorze wartości, maksymalnych przedziałach </w:t>
            </w:r>
            <w:r w:rsidR="00166533" w:rsidRPr="00437050">
              <w:rPr>
                <w:rFonts w:asciiTheme="majorHAnsi" w:hAnsiTheme="majorHAnsi"/>
                <w:sz w:val="22"/>
                <w:szCs w:val="22"/>
              </w:rPr>
              <w:t>monotoniczności</w:t>
            </w:r>
          </w:p>
        </w:tc>
      </w:tr>
    </w:tbl>
    <w:p w:rsidR="00C3709C" w:rsidRPr="00437050" w:rsidRDefault="00C3709C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072A32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color w:val="00B050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072A32" w:rsidRDefault="001218AA" w:rsidP="00437050">
      <w:pPr>
        <w:pStyle w:val="Tekstpodstawowy"/>
        <w:spacing w:line="120" w:lineRule="atLeast"/>
        <w:rPr>
          <w:rFonts w:asciiTheme="majorHAnsi" w:hAnsiTheme="majorHAnsi"/>
          <w:color w:val="00B050"/>
          <w:sz w:val="22"/>
          <w:szCs w:val="22"/>
        </w:rPr>
      </w:pPr>
      <w:r w:rsidRPr="00072A32">
        <w:rPr>
          <w:rFonts w:asciiTheme="majorHAnsi" w:hAnsiTheme="majorHAnsi"/>
          <w:color w:val="00B050"/>
          <w:sz w:val="22"/>
          <w:szCs w:val="22"/>
        </w:rPr>
        <w:t xml:space="preserve">Uczeń otrzymuje ocenę </w:t>
      </w:r>
      <w:r w:rsidRPr="00072A32">
        <w:rPr>
          <w:rFonts w:asciiTheme="majorHAnsi" w:hAnsiTheme="majorHAnsi"/>
          <w:b/>
          <w:bCs/>
          <w:color w:val="00B050"/>
          <w:sz w:val="22"/>
          <w:szCs w:val="22"/>
        </w:rPr>
        <w:t>celującą</w:t>
      </w:r>
      <w:r w:rsidRPr="00072A32">
        <w:rPr>
          <w:rFonts w:asciiTheme="majorHAnsi" w:hAnsiTheme="majorHAnsi"/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>
        <w:tc>
          <w:tcPr>
            <w:tcW w:w="9212" w:type="dxa"/>
          </w:tcPr>
          <w:p w:rsidR="001218AA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ogólnych danych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wzór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funkcj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kwadratow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z postaci ogólnej do postaci kanonicznej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wzory na współrzędne wierzchołka paraboli</w:t>
            </w:r>
          </w:p>
        </w:tc>
      </w:tr>
      <w:tr w:rsidR="00EF06CD" w:rsidRPr="00437050">
        <w:tc>
          <w:tcPr>
            <w:tcW w:w="9212" w:type="dxa"/>
          </w:tcPr>
          <w:p w:rsidR="00EF06CD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</w:t>
            </w:r>
            <w:r w:rsidR="00932E51" w:rsidRPr="00437050">
              <w:rPr>
                <w:rFonts w:asciiTheme="majorHAnsi" w:hAnsiTheme="majorHAnsi"/>
                <w:bCs/>
                <w:sz w:val="22"/>
                <w:szCs w:val="22"/>
              </w:rPr>
              <w:t>znym stopniu trudności dotyczące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funkcji kwad</w:t>
            </w:r>
            <w:r w:rsidR="008D5818" w:rsidRPr="00437050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atowej</w:t>
            </w:r>
          </w:p>
        </w:tc>
      </w:tr>
    </w:tbl>
    <w:p w:rsidR="000F528D" w:rsidRPr="00437050" w:rsidRDefault="000F528D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0F528D" w:rsidRPr="00437050" w:rsidRDefault="000F528D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437050" w:rsidSect="00437050">
      <w:footerReference w:type="even" r:id="rId31"/>
      <w:footerReference w:type="default" r:id="rId32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CE" w:rsidRDefault="001523CE">
      <w:r>
        <w:separator/>
      </w:r>
    </w:p>
  </w:endnote>
  <w:endnote w:type="continuationSeparator" w:id="0">
    <w:p w:rsidR="001523CE" w:rsidRDefault="001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C" w:rsidRDefault="00B0103C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103C" w:rsidRDefault="00B0103C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C" w:rsidRDefault="00B0103C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3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CE" w:rsidRDefault="001523CE">
      <w:r>
        <w:separator/>
      </w:r>
    </w:p>
  </w:footnote>
  <w:footnote w:type="continuationSeparator" w:id="0">
    <w:p w:rsidR="001523CE" w:rsidRDefault="0015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B36B4B"/>
    <w:multiLevelType w:val="hybridMultilevel"/>
    <w:tmpl w:val="F39E8A8C"/>
    <w:lvl w:ilvl="0" w:tplc="D73C9E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DF0FCA6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01A7586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722E8"/>
    <w:multiLevelType w:val="hybridMultilevel"/>
    <w:tmpl w:val="A3381390"/>
    <w:lvl w:ilvl="0" w:tplc="17DCB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57EB"/>
    <w:multiLevelType w:val="hybridMultilevel"/>
    <w:tmpl w:val="4D1EE4E2"/>
    <w:lvl w:ilvl="0" w:tplc="3BA0B8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D96"/>
    <w:multiLevelType w:val="hybridMultilevel"/>
    <w:tmpl w:val="56BE46D0"/>
    <w:lvl w:ilvl="0" w:tplc="D3A4E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41E11"/>
    <w:multiLevelType w:val="multilevel"/>
    <w:tmpl w:val="B3EE52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1" w15:restartNumberingAfterBreak="0">
    <w:nsid w:val="285B582A"/>
    <w:multiLevelType w:val="hybridMultilevel"/>
    <w:tmpl w:val="672A1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60CD"/>
    <w:multiLevelType w:val="hybridMultilevel"/>
    <w:tmpl w:val="CA68818A"/>
    <w:lvl w:ilvl="0" w:tplc="E0B64FB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C3067C"/>
    <w:multiLevelType w:val="multilevel"/>
    <w:tmpl w:val="884077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E020C"/>
    <w:multiLevelType w:val="hybridMultilevel"/>
    <w:tmpl w:val="72A22D14"/>
    <w:lvl w:ilvl="0" w:tplc="D2B4D3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7698"/>
    <w:multiLevelType w:val="multilevel"/>
    <w:tmpl w:val="EF2898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A6513E2"/>
    <w:multiLevelType w:val="hybridMultilevel"/>
    <w:tmpl w:val="754ED3B2"/>
    <w:lvl w:ilvl="0" w:tplc="B088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4F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5596"/>
    <w:multiLevelType w:val="hybridMultilevel"/>
    <w:tmpl w:val="A270326E"/>
    <w:lvl w:ilvl="0" w:tplc="69009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3C9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7"/>
  </w:num>
  <w:num w:numId="5">
    <w:abstractNumId w:val="6"/>
  </w:num>
  <w:num w:numId="6">
    <w:abstractNumId w:val="9"/>
  </w:num>
  <w:num w:numId="7">
    <w:abstractNumId w:val="24"/>
  </w:num>
  <w:num w:numId="8">
    <w:abstractNumId w:val="15"/>
  </w:num>
  <w:num w:numId="9">
    <w:abstractNumId w:val="18"/>
  </w:num>
  <w:num w:numId="10">
    <w:abstractNumId w:val="16"/>
  </w:num>
  <w:num w:numId="11">
    <w:abstractNumId w:val="28"/>
  </w:num>
  <w:num w:numId="12">
    <w:abstractNumId w:val="23"/>
  </w:num>
  <w:num w:numId="13">
    <w:abstractNumId w:val="20"/>
  </w:num>
  <w:num w:numId="14">
    <w:abstractNumId w:val="14"/>
  </w:num>
  <w:num w:numId="15">
    <w:abstractNumId w:val="1"/>
  </w:num>
  <w:num w:numId="16">
    <w:abstractNumId w:val="0"/>
  </w:num>
  <w:num w:numId="17">
    <w:abstractNumId w:val="27"/>
  </w:num>
  <w:num w:numId="18">
    <w:abstractNumId w:val="17"/>
  </w:num>
  <w:num w:numId="19">
    <w:abstractNumId w:val="25"/>
  </w:num>
  <w:num w:numId="20">
    <w:abstractNumId w:val="30"/>
  </w:num>
  <w:num w:numId="21">
    <w:abstractNumId w:val="19"/>
  </w:num>
  <w:num w:numId="22">
    <w:abstractNumId w:val="10"/>
  </w:num>
  <w:num w:numId="23">
    <w:abstractNumId w:val="21"/>
  </w:num>
  <w:num w:numId="24">
    <w:abstractNumId w:val="8"/>
  </w:num>
  <w:num w:numId="25">
    <w:abstractNumId w:val="4"/>
  </w:num>
  <w:num w:numId="26">
    <w:abstractNumId w:val="13"/>
  </w:num>
  <w:num w:numId="27">
    <w:abstractNumId w:val="3"/>
  </w:num>
  <w:num w:numId="28">
    <w:abstractNumId w:val="2"/>
  </w:num>
  <w:num w:numId="29">
    <w:abstractNumId w:val="22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3A96"/>
    <w:rsid w:val="00064BFC"/>
    <w:rsid w:val="00072A32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23CE"/>
    <w:rsid w:val="00154FB2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0914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0D90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748CD"/>
    <w:rsid w:val="00682BC0"/>
    <w:rsid w:val="0068433F"/>
    <w:rsid w:val="00686158"/>
    <w:rsid w:val="00690B1B"/>
    <w:rsid w:val="00696BAB"/>
    <w:rsid w:val="006A3017"/>
    <w:rsid w:val="006A7F8A"/>
    <w:rsid w:val="006D162F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C7108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72729"/>
    <w:rsid w:val="00A94102"/>
    <w:rsid w:val="00A9592B"/>
    <w:rsid w:val="00A96AFF"/>
    <w:rsid w:val="00AA1270"/>
    <w:rsid w:val="00AB2B6D"/>
    <w:rsid w:val="00AC410F"/>
    <w:rsid w:val="00AC4A3B"/>
    <w:rsid w:val="00AC5382"/>
    <w:rsid w:val="00AD7F1D"/>
    <w:rsid w:val="00AE3E94"/>
    <w:rsid w:val="00AE5530"/>
    <w:rsid w:val="00AE62D4"/>
    <w:rsid w:val="00AE6B7C"/>
    <w:rsid w:val="00AF5461"/>
    <w:rsid w:val="00B0103C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5749"/>
    <w:rsid w:val="00E071BE"/>
    <w:rsid w:val="00E13DF2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93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B3483"/>
  <w15:docId w15:val="{B619C034-10B3-4D0E-A84D-65F4259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C4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8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4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uiPriority w:val="99"/>
    <w:rsid w:val="006748C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748C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A7E4-3318-474B-980F-8066FA3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2845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Komputer</cp:lastModifiedBy>
  <cp:revision>4</cp:revision>
  <cp:lastPrinted>2007-07-18T08:53:00Z</cp:lastPrinted>
  <dcterms:created xsi:type="dcterms:W3CDTF">2023-09-11T18:13:00Z</dcterms:created>
  <dcterms:modified xsi:type="dcterms:W3CDTF">2023-10-23T18:48:00Z</dcterms:modified>
</cp:coreProperties>
</file>